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BF" w:rsidRPr="00FE09D5" w:rsidRDefault="000426BF" w:rsidP="000541D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426BF" w:rsidRPr="00FE09D5" w:rsidRDefault="00FE09D5" w:rsidP="00FE09D5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09D5">
        <w:rPr>
          <w:rFonts w:ascii="Arial" w:hAnsi="Arial" w:cs="Arial"/>
          <w:b/>
          <w:sz w:val="24"/>
          <w:szCs w:val="24"/>
        </w:rPr>
        <w:t>PEDOMAN MONITORING DAN EVALUASI KINERJA</w:t>
      </w:r>
    </w:p>
    <w:p w:rsidR="000426BF" w:rsidRPr="00FE09D5" w:rsidRDefault="000426BF" w:rsidP="000541D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426BF" w:rsidRPr="00FE09D5" w:rsidRDefault="000426BF" w:rsidP="000541D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09D5" w:rsidRDefault="00FE09D5" w:rsidP="000541D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09D5">
        <w:rPr>
          <w:rFonts w:ascii="Arial" w:hAnsi="Arial" w:cs="Arial"/>
          <w:b/>
          <w:sz w:val="24"/>
          <w:szCs w:val="24"/>
        </w:rPr>
        <w:t xml:space="preserve">Dasar </w:t>
      </w:r>
      <w:r>
        <w:rPr>
          <w:rFonts w:ascii="Arial" w:hAnsi="Arial" w:cs="Arial"/>
          <w:b/>
          <w:sz w:val="24"/>
          <w:szCs w:val="24"/>
        </w:rPr>
        <w:t>hu</w:t>
      </w:r>
      <w:r w:rsidRPr="00FE09D5">
        <w:rPr>
          <w:rFonts w:ascii="Arial" w:hAnsi="Arial" w:cs="Arial"/>
          <w:b/>
          <w:sz w:val="24"/>
          <w:szCs w:val="24"/>
        </w:rPr>
        <w:t xml:space="preserve">kum </w:t>
      </w:r>
      <w:r>
        <w:rPr>
          <w:rFonts w:ascii="Arial" w:hAnsi="Arial" w:cs="Arial"/>
          <w:b/>
          <w:sz w:val="24"/>
          <w:szCs w:val="24"/>
        </w:rPr>
        <w:t>penyelenggaraan Urusan Pemerintahan Bidang Komunikasi, Informatika, Statistik, dan Persandian, antara lain:</w:t>
      </w:r>
    </w:p>
    <w:p w:rsidR="0053418C" w:rsidRDefault="0053418C" w:rsidP="000541D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E09D5" w:rsidRDefault="00FE09D5" w:rsidP="00FE09D5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Undang-Undang Dasar 1945 Pasal 28F, yaitu:</w:t>
      </w:r>
    </w:p>
    <w:p w:rsidR="00FE09D5" w:rsidRDefault="00FE09D5" w:rsidP="00FE09D5">
      <w:pPr>
        <w:pStyle w:val="ListParagraph"/>
        <w:tabs>
          <w:tab w:val="left" w:pos="426"/>
        </w:tabs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“Setiap Orang Berhak untuk Berkomunikasi dan Memperoleh Informasi”</w:t>
      </w:r>
    </w:p>
    <w:p w:rsidR="00FE09D5" w:rsidRDefault="00FE09D5" w:rsidP="00FE09D5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Undang-Undang Nomor 23 Tahun 2014 tentang Pemerintahan Daerah, yaitu:</w:t>
      </w:r>
    </w:p>
    <w:p w:rsidR="00FE09D5" w:rsidRDefault="00FE09D5" w:rsidP="00FE09D5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Dinas Komunikasi, Informatika dan Statistik sebagai Penyelenggara Urusan Pemerintahan Konkruen;</w:t>
      </w:r>
    </w:p>
    <w:p w:rsidR="00FE09D5" w:rsidRDefault="00FE09D5" w:rsidP="00FE09D5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Dinas Komunikasi, Informatika dan Statistik sebagai Penyelenggara Urusan Wajib Non Pelayanan Dasar</w:t>
      </w:r>
    </w:p>
    <w:p w:rsidR="008F22F9" w:rsidRDefault="008F22F9" w:rsidP="00FE09D5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Peraturan Pemerintah Nomor 51 Tahun 1999 tentang Penyelenggaraan Statistik, yaitu:</w:t>
      </w:r>
    </w:p>
    <w:p w:rsidR="008F22F9" w:rsidRDefault="008F22F9" w:rsidP="008F22F9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Pasal 2 ayat (2) BPS adalah Penyelenggara Statistik Dasar;</w:t>
      </w:r>
    </w:p>
    <w:p w:rsidR="008F22F9" w:rsidRDefault="008F22F9" w:rsidP="008F22F9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Pasal 23 ayat (1) Instansi Pemerintah adalah Penyelenggara Statistik Sektoral Sesuai dengan Tupoksinya.</w:t>
      </w:r>
    </w:p>
    <w:p w:rsidR="008F22F9" w:rsidRDefault="008F22F9" w:rsidP="00FE09D5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Peratruran Pemerintah Nomor 18 Tahun 2016 tentang Perangkat Daerah, yaitu:</w:t>
      </w:r>
    </w:p>
    <w:p w:rsidR="008F22F9" w:rsidRDefault="008F22F9" w:rsidP="008F22F9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Informasi Komunikasi dan Informatika diselenggarakan oleh Kemenkominfo, Statistik oleh Badan Pusat Statistik (BPS), dan Persandian oleh Badan Siber dan Sandi Negara (BSSN);</w:t>
      </w:r>
    </w:p>
    <w:p w:rsidR="008F22F9" w:rsidRDefault="008F22F9" w:rsidP="008F22F9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Pasal 18 ayat (4e) dan Pasal 37 ayat (4n) bahwa Statistik Satu Rumpun dengan Persandian maupun dengan Komunikasi dan Informatika.</w:t>
      </w:r>
    </w:p>
    <w:p w:rsidR="008F22F9" w:rsidRDefault="008F22F9" w:rsidP="008F22F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Jadi, berdasarkan keterangan di atas dapat dipahami bahwa, Dinas Komunikasi, Informatika</w:t>
      </w:r>
      <w:r w:rsidR="007B33A9">
        <w:rPr>
          <w:rFonts w:ascii="Arial" w:hAnsi="Arial" w:cs="Arial"/>
          <w:b/>
          <w:sz w:val="24"/>
          <w:szCs w:val="24"/>
        </w:rPr>
        <w:t>, dan Statistik Kabupaten Bengkalis merupakan Penyelenggara Urusan Pemerintahan yang menjadi kewenangan daerah di Bidang Komunikasi dan Informatika, Statistik, dan Persandian.</w:t>
      </w:r>
    </w:p>
    <w:p w:rsidR="007B33A9" w:rsidRDefault="007B33A9" w:rsidP="008F22F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Kemudian, Urusan Pemerintahan Bidang Komunikasi dan Informatika, Statistik, dan Persandian terdiri dari Subu Urusan, yaitu:</w:t>
      </w:r>
    </w:p>
    <w:p w:rsidR="0053418C" w:rsidRDefault="0053418C" w:rsidP="008F22F9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B33A9" w:rsidRDefault="007B33A9" w:rsidP="007B33A9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Urusan Bidang Komunikasi dan Informatika terdiri dari 2 Sub Urusan:</w:t>
      </w:r>
    </w:p>
    <w:p w:rsidR="007B33A9" w:rsidRDefault="007B33A9" w:rsidP="007B33A9">
      <w:pPr>
        <w:pStyle w:val="ListParagraph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Informasi dan Komunikasi Publik;</w:t>
      </w:r>
    </w:p>
    <w:p w:rsidR="007B33A9" w:rsidRDefault="007B33A9" w:rsidP="007B33A9">
      <w:pPr>
        <w:pStyle w:val="ListParagraph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Aplikasi dan Informatika</w:t>
      </w:r>
    </w:p>
    <w:p w:rsidR="007B33A9" w:rsidRDefault="007B33A9" w:rsidP="007B33A9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Urusan Bidang Statistik terdiri dari</w:t>
      </w:r>
      <w:r w:rsidR="001C67AE">
        <w:rPr>
          <w:rFonts w:ascii="Arial" w:hAnsi="Arial" w:cs="Arial"/>
          <w:b/>
          <w:sz w:val="24"/>
          <w:szCs w:val="24"/>
        </w:rPr>
        <w:t xml:space="preserve"> 2 Sub Urusan:</w:t>
      </w:r>
    </w:p>
    <w:p w:rsidR="001C67AE" w:rsidRDefault="001C67AE" w:rsidP="001C67AE">
      <w:pPr>
        <w:pStyle w:val="ListParagraph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Statistik Dasar;</w:t>
      </w:r>
    </w:p>
    <w:p w:rsidR="001C67AE" w:rsidRDefault="001C67AE" w:rsidP="001C67AE">
      <w:pPr>
        <w:pStyle w:val="ListParagraph"/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Statistik Sektoral</w:t>
      </w:r>
    </w:p>
    <w:p w:rsidR="001C67AE" w:rsidRDefault="001C67AE" w:rsidP="001C67AE">
      <w:pPr>
        <w:pStyle w:val="ListParagraph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Urusan Pemerintahan Bidang Statistik yang menjadi kewenangan daerah kabupaten/kota adalah Sub Urusan Statistik Sektoral</w:t>
      </w:r>
    </w:p>
    <w:p w:rsidR="001C67AE" w:rsidRDefault="001C67AE" w:rsidP="007B33A9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Urusan Bidang Persandian terdiri dari 3 Sub Urusan:</w:t>
      </w:r>
    </w:p>
    <w:p w:rsidR="001C67AE" w:rsidRDefault="001C67AE" w:rsidP="001C67AE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Persandian untuk Pengamanan Informasi;</w:t>
      </w:r>
    </w:p>
    <w:p w:rsidR="001C67AE" w:rsidRDefault="001C67AE" w:rsidP="001C67AE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Akreditasi dan Sertifikasi;</w:t>
      </w:r>
    </w:p>
    <w:p w:rsidR="001C67AE" w:rsidRDefault="001C67AE" w:rsidP="001C67AE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Analisis Sinyal</w:t>
      </w:r>
    </w:p>
    <w:p w:rsidR="001C67AE" w:rsidRDefault="001C67AE" w:rsidP="0053418C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Urusan Pemerintahan Bidang Persandian yang menjadi kewenangan daerah kabupaten/kota adalah Sub Urusan Persandian untuk Pengamanan Informasi.</w:t>
      </w:r>
    </w:p>
    <w:p w:rsidR="001C67AE" w:rsidRPr="007B33A9" w:rsidRDefault="001C67AE" w:rsidP="00BE489E">
      <w:pPr>
        <w:pStyle w:val="ListParagraph"/>
        <w:tabs>
          <w:tab w:val="left" w:pos="426"/>
        </w:tabs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BE489E" w:rsidRDefault="00BE489E" w:rsidP="00BE489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Adapun untuk mengevaluasi penyelenggaraan Urusan Pemerintahan di Bidang Komunikasi dan Informatika, Statistik, dan Persandian ditetapkan beberapa indikator, yaitu:</w:t>
      </w:r>
    </w:p>
    <w:p w:rsidR="0053418C" w:rsidRDefault="0053418C" w:rsidP="00BE489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489E" w:rsidRDefault="00BE489E" w:rsidP="00BE489E">
      <w:pPr>
        <w:pStyle w:val="ListParagraph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Indikator </w:t>
      </w:r>
      <w:r>
        <w:rPr>
          <w:rFonts w:ascii="Arial" w:hAnsi="Arial" w:cs="Arial"/>
          <w:b/>
          <w:sz w:val="24"/>
          <w:szCs w:val="24"/>
        </w:rPr>
        <w:t>Urusan Bidang Komunikasi dan Informatika terdiri dari 2 Sub Urusan:</w:t>
      </w:r>
    </w:p>
    <w:p w:rsidR="00BE489E" w:rsidRDefault="00BE489E" w:rsidP="00BE489E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Informasi dan Komunikasi Publik, yaitu Indeks Keterbukaan Informasi Publik (KIP).</w:t>
      </w:r>
    </w:p>
    <w:p w:rsidR="00067DE2" w:rsidRPr="00067DE2" w:rsidRDefault="00BE489E" w:rsidP="00067DE2">
      <w:pPr>
        <w:pStyle w:val="ListParagraph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Penilaian Indeks KIP dilakukan setiap tahun oleh Dinas Komunikasi, Informatika dan Statistik melalui Komisi Informasi Daerah Provinsi Riau</w:t>
      </w:r>
      <w:r w:rsidR="00067DE2">
        <w:rPr>
          <w:rFonts w:ascii="Arial" w:hAnsi="Arial" w:cs="Arial"/>
          <w:b/>
          <w:sz w:val="24"/>
          <w:szCs w:val="24"/>
        </w:rPr>
        <w:t xml:space="preserve">, dengan kategori penilaian </w:t>
      </w:r>
      <w:r w:rsidR="00067DE2" w:rsidRPr="00067DE2">
        <w:rPr>
          <w:rFonts w:ascii="Arial" w:hAnsi="Arial" w:cs="Arial"/>
          <w:b/>
          <w:sz w:val="24"/>
          <w:szCs w:val="24"/>
        </w:rPr>
        <w:t xml:space="preserve">Kualitas Indikator: </w:t>
      </w:r>
    </w:p>
    <w:p w:rsidR="00382101" w:rsidRDefault="00382101" w:rsidP="00067DE2">
      <w:pPr>
        <w:pStyle w:val="ListParagraph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067DE2" w:rsidRPr="00067DE2">
        <w:rPr>
          <w:rFonts w:ascii="Arial" w:hAnsi="Arial" w:cs="Arial"/>
          <w:b/>
          <w:sz w:val="24"/>
          <w:szCs w:val="24"/>
        </w:rPr>
        <w:t>Nilai In</w:t>
      </w:r>
      <w:r>
        <w:rPr>
          <w:rFonts w:ascii="Arial" w:hAnsi="Arial" w:cs="Arial"/>
          <w:b/>
          <w:sz w:val="24"/>
          <w:szCs w:val="24"/>
        </w:rPr>
        <w:t>deks 40-59 (kurang informatif);</w:t>
      </w:r>
    </w:p>
    <w:p w:rsidR="00382101" w:rsidRDefault="00382101" w:rsidP="00382101">
      <w:pPr>
        <w:pStyle w:val="ListParagraph"/>
        <w:spacing w:after="0" w:line="240" w:lineRule="auto"/>
        <w:ind w:left="993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>60-70 (cukup informatif);</w:t>
      </w:r>
    </w:p>
    <w:p w:rsidR="00382101" w:rsidRDefault="00382101" w:rsidP="00382101">
      <w:pPr>
        <w:pStyle w:val="ListParagraph"/>
        <w:spacing w:after="0" w:line="240" w:lineRule="auto"/>
        <w:ind w:left="993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71-79 (menuju informatif);</w:t>
      </w:r>
    </w:p>
    <w:p w:rsidR="00382101" w:rsidRDefault="00382101" w:rsidP="00382101">
      <w:pPr>
        <w:pStyle w:val="ListParagraph"/>
        <w:spacing w:after="0" w:line="240" w:lineRule="auto"/>
        <w:ind w:left="993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80-96 (merunut informatif); </w:t>
      </w:r>
    </w:p>
    <w:p w:rsidR="00BE489E" w:rsidRDefault="00382101" w:rsidP="00382101">
      <w:pPr>
        <w:pStyle w:val="ListParagraph"/>
        <w:spacing w:after="0" w:line="240" w:lineRule="auto"/>
        <w:ind w:left="993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067DE2" w:rsidRPr="00067DE2">
        <w:rPr>
          <w:rFonts w:ascii="Arial" w:hAnsi="Arial" w:cs="Arial"/>
          <w:b/>
          <w:sz w:val="24"/>
          <w:szCs w:val="24"/>
        </w:rPr>
        <w:t>97-100 (informatif)</w:t>
      </w:r>
    </w:p>
    <w:p w:rsidR="00BE489E" w:rsidRDefault="00BE489E" w:rsidP="00BE489E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Aplikasi dan Informatika</w:t>
      </w:r>
      <w:r w:rsidR="00067DE2">
        <w:rPr>
          <w:rFonts w:ascii="Arial" w:hAnsi="Arial" w:cs="Arial"/>
          <w:b/>
          <w:sz w:val="24"/>
          <w:szCs w:val="24"/>
        </w:rPr>
        <w:t>, yaitu Indeks Sistem Pemerintahan Berbasis Elektronik (SPBE) berdasarkan PermenpanRB Nomor 5 Tahun 2018 tentang Pedoman Evaluasi Sistem Pemerintahan Berbasis Elektronik</w:t>
      </w:r>
    </w:p>
    <w:p w:rsidR="00067DE2" w:rsidRDefault="00067DE2" w:rsidP="00067DE2">
      <w:pPr>
        <w:pStyle w:val="ListParagraph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Penilaian Indeks SPBE dilakukan secara Penilaian Mandiri oleh masing-masing daerah untuk selanjutnya dinilai oleh Kementerian Komunikasi dan Informatika melalui Direktorat Jenderal Aplikasi dan Informatika, dengan kategori penilaian Kualitas Indikator:</w:t>
      </w:r>
    </w:p>
    <w:p w:rsidR="00382101" w:rsidRDefault="00382101" w:rsidP="00067DE2">
      <w:pPr>
        <w:pStyle w:val="ListParagraph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Informasi yaitu Layanan SPBE dalam bentuk informasi satu arah;</w:t>
      </w:r>
    </w:p>
    <w:p w:rsidR="00382101" w:rsidRDefault="00382101" w:rsidP="00067DE2">
      <w:pPr>
        <w:pStyle w:val="ListParagraph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Interaksi yaitu Layanan SPBE dalam bentuk informasi dua arah;</w:t>
      </w:r>
    </w:p>
    <w:p w:rsidR="00382101" w:rsidRDefault="00382101" w:rsidP="00067DE2">
      <w:pPr>
        <w:pStyle w:val="ListParagraph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Transaksi yaitu Layanan SPBE dalam bentuk pertukaran informasi dan layanan;</w:t>
      </w:r>
    </w:p>
    <w:p w:rsidR="00382101" w:rsidRDefault="00382101" w:rsidP="00067DE2">
      <w:pPr>
        <w:pStyle w:val="ListParagraph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Kolaborasi yaitu Layanan SPBE terintegrasi dengan layanan SPBE lain;</w:t>
      </w:r>
    </w:p>
    <w:p w:rsidR="00382101" w:rsidRDefault="00382101" w:rsidP="00067DE2">
      <w:pPr>
        <w:pStyle w:val="ListParagraph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Optimalisasi yaitu Layanan SPBE dapat beradaptasi terhadap perubahan lingkungan internal dan eksternal</w:t>
      </w:r>
    </w:p>
    <w:p w:rsidR="00067DE2" w:rsidRDefault="00067DE2" w:rsidP="00067DE2">
      <w:pPr>
        <w:pStyle w:val="ListParagraph"/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013EC" w:rsidRDefault="003013EC" w:rsidP="00BE489E">
      <w:pPr>
        <w:pStyle w:val="ListParagraph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Indikator </w:t>
      </w:r>
      <w:r w:rsidR="00BE489E">
        <w:rPr>
          <w:rFonts w:ascii="Arial" w:hAnsi="Arial" w:cs="Arial"/>
          <w:b/>
          <w:sz w:val="24"/>
          <w:szCs w:val="24"/>
        </w:rPr>
        <w:t>Urusan Bidang Statistik</w:t>
      </w:r>
      <w:r>
        <w:rPr>
          <w:rFonts w:ascii="Arial" w:hAnsi="Arial" w:cs="Arial"/>
          <w:b/>
          <w:sz w:val="24"/>
          <w:szCs w:val="24"/>
        </w:rPr>
        <w:t xml:space="preserve">, Sub Urusan Statistik Sektoral berdasarkan Permendagri Nomor 18 Tahun 2020 tentang Pedoman Penyusunan Laporan Penyelenggaraan Pemerintahan Daerah adalah </w:t>
      </w:r>
    </w:p>
    <w:p w:rsidR="003013EC" w:rsidRDefault="003013EC" w:rsidP="003013EC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Jumlah survey statistik sektoral yang dilakukan;</w:t>
      </w:r>
    </w:p>
    <w:p w:rsidR="003013EC" w:rsidRDefault="003013EC" w:rsidP="003013EC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Jumlah kompilasi statistic sektoral yang dilakukan;</w:t>
      </w:r>
    </w:p>
    <w:p w:rsidR="003013EC" w:rsidRDefault="003013EC" w:rsidP="003013EC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Jumlah survey statistic sektoral yang mendapat rekomendasi BPS; dan</w:t>
      </w:r>
    </w:p>
    <w:p w:rsidR="003013EC" w:rsidRDefault="003013EC" w:rsidP="003013EC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Jumlah kompilasi statistic sektoral yang mendapat rekomendasi BPS.</w:t>
      </w:r>
    </w:p>
    <w:p w:rsidR="00236EC1" w:rsidRDefault="003013EC" w:rsidP="00236EC1">
      <w:pPr>
        <w:pStyle w:val="ListParagraph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Indikator </w:t>
      </w:r>
      <w:r w:rsidR="00BE489E">
        <w:rPr>
          <w:rFonts w:ascii="Arial" w:hAnsi="Arial" w:cs="Arial"/>
          <w:b/>
          <w:sz w:val="24"/>
          <w:szCs w:val="24"/>
        </w:rPr>
        <w:t>Urusan Bidang Persandian</w:t>
      </w:r>
      <w:r w:rsidR="00236EC1">
        <w:rPr>
          <w:rFonts w:ascii="Arial" w:hAnsi="Arial" w:cs="Arial"/>
          <w:b/>
          <w:sz w:val="24"/>
          <w:szCs w:val="24"/>
        </w:rPr>
        <w:t xml:space="preserve">, Sub Urusan Persandian untuk Pengamanan Informasi </w:t>
      </w:r>
      <w:r w:rsidR="00236EC1">
        <w:rPr>
          <w:rFonts w:ascii="Arial" w:hAnsi="Arial" w:cs="Arial"/>
          <w:b/>
          <w:sz w:val="24"/>
          <w:szCs w:val="24"/>
        </w:rPr>
        <w:t xml:space="preserve">berdasarkan Permendagri Nomor 18 Tahun 2020 tentang Pedoman Penyusunan Laporan Penyelenggaraan Pemerintahan Daerah adalah </w:t>
      </w:r>
      <w:r w:rsidR="00236EC1">
        <w:rPr>
          <w:rFonts w:ascii="Arial" w:hAnsi="Arial" w:cs="Arial"/>
          <w:b/>
          <w:sz w:val="24"/>
          <w:szCs w:val="24"/>
        </w:rPr>
        <w:t>Indeks Keamanan Informasi (KAMI)</w:t>
      </w:r>
      <w:r w:rsidR="0053418C">
        <w:rPr>
          <w:rFonts w:ascii="Arial" w:hAnsi="Arial" w:cs="Arial"/>
          <w:b/>
          <w:sz w:val="24"/>
          <w:szCs w:val="24"/>
        </w:rPr>
        <w:t xml:space="preserve"> Versi 4.1 (Standar ISO/IEC </w:t>
      </w:r>
      <w:r w:rsidR="0053418C">
        <w:rPr>
          <w:rFonts w:ascii="Arial" w:hAnsi="Arial" w:cs="Arial"/>
          <w:b/>
          <w:sz w:val="24"/>
          <w:szCs w:val="24"/>
        </w:rPr>
        <w:lastRenderedPageBreak/>
        <w:t>27001;2013)</w:t>
      </w:r>
      <w:r w:rsidR="00236EC1">
        <w:rPr>
          <w:rFonts w:ascii="Arial" w:hAnsi="Arial" w:cs="Arial"/>
          <w:b/>
          <w:sz w:val="24"/>
          <w:szCs w:val="24"/>
        </w:rPr>
        <w:t xml:space="preserve"> yang digunakan untuk mengukur tingkat keamanan informasi pemerintah, dengan kategori penilaian:</w:t>
      </w:r>
    </w:p>
    <w:p w:rsidR="00236EC1" w:rsidRDefault="00236EC1" w:rsidP="00236EC1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Tingkat Kematangan I yaitu Kondisi Awal;</w:t>
      </w:r>
    </w:p>
    <w:p w:rsidR="00236EC1" w:rsidRDefault="00236EC1" w:rsidP="00236EC1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Tingkat Kematangan II yaitu Penerapan Kerangka Kerja Dasar;</w:t>
      </w:r>
    </w:p>
    <w:p w:rsidR="00236EC1" w:rsidRDefault="00236EC1" w:rsidP="00236EC1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Tingkat Kematangan III yaitu Terdefenisi dan Konsisten;</w:t>
      </w:r>
    </w:p>
    <w:p w:rsidR="00236EC1" w:rsidRDefault="00236EC1" w:rsidP="00236EC1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Tingkat Kematangan IV yaitu Terkelola dan Terukur;</w:t>
      </w:r>
    </w:p>
    <w:p w:rsidR="00236EC1" w:rsidRDefault="00236EC1" w:rsidP="00236EC1">
      <w:pPr>
        <w:pStyle w:val="ListParagraph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Tingkat Kematangan </w:t>
      </w:r>
      <w:r w:rsidR="0053418C">
        <w:rPr>
          <w:rFonts w:ascii="Arial" w:hAnsi="Arial" w:cs="Arial"/>
          <w:b/>
          <w:sz w:val="24"/>
          <w:szCs w:val="24"/>
        </w:rPr>
        <w:t>V yaitu Optimal</w:t>
      </w:r>
      <w:r w:rsidRPr="00067DE2">
        <w:rPr>
          <w:rFonts w:ascii="Arial" w:hAnsi="Arial" w:cs="Arial"/>
          <w:b/>
          <w:sz w:val="24"/>
          <w:szCs w:val="24"/>
        </w:rPr>
        <w:t>Nilai In</w:t>
      </w:r>
      <w:r>
        <w:rPr>
          <w:rFonts w:ascii="Arial" w:hAnsi="Arial" w:cs="Arial"/>
          <w:b/>
          <w:sz w:val="24"/>
          <w:szCs w:val="24"/>
        </w:rPr>
        <w:t>deks 40-59 (kurang informatif);</w:t>
      </w:r>
    </w:p>
    <w:p w:rsidR="003D4BA8" w:rsidRPr="00FE09D5" w:rsidRDefault="003D4BA8" w:rsidP="0053418C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C242C" w:rsidRPr="00FE09D5" w:rsidRDefault="004C242C" w:rsidP="004C242C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773D2" w:rsidRPr="00FE09D5" w:rsidRDefault="003D4BA8" w:rsidP="003D4BA8">
      <w:pPr>
        <w:spacing w:after="0" w:line="240" w:lineRule="auto"/>
        <w:ind w:left="4536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E09D5">
        <w:rPr>
          <w:rFonts w:ascii="Arial" w:hAnsi="Arial" w:cs="Arial"/>
          <w:noProof/>
          <w:lang w:val="id-ID" w:eastAsia="id-ID"/>
        </w:rPr>
        <w:drawing>
          <wp:inline distT="0" distB="0" distL="0" distR="0" wp14:anchorId="36B7C7C5" wp14:editId="4377ADA1">
            <wp:extent cx="2880360" cy="17830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398" r="96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52" cy="178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73D2" w:rsidRPr="00FE09D5" w:rsidSect="0029577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B2" w:rsidRDefault="001153B2" w:rsidP="007F545B">
      <w:pPr>
        <w:spacing w:after="0" w:line="240" w:lineRule="auto"/>
      </w:pPr>
      <w:r>
        <w:separator/>
      </w:r>
    </w:p>
  </w:endnote>
  <w:endnote w:type="continuationSeparator" w:id="0">
    <w:p w:rsidR="001153B2" w:rsidRDefault="001153B2" w:rsidP="007F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B2" w:rsidRDefault="001153B2" w:rsidP="007F545B">
      <w:pPr>
        <w:spacing w:after="0" w:line="240" w:lineRule="auto"/>
      </w:pPr>
      <w:r>
        <w:separator/>
      </w:r>
    </w:p>
  </w:footnote>
  <w:footnote w:type="continuationSeparator" w:id="0">
    <w:p w:rsidR="001153B2" w:rsidRDefault="001153B2" w:rsidP="007F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FD"/>
    <w:multiLevelType w:val="hybridMultilevel"/>
    <w:tmpl w:val="B42A3F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3B72"/>
    <w:multiLevelType w:val="hybridMultilevel"/>
    <w:tmpl w:val="95FECC3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91AE0"/>
    <w:multiLevelType w:val="hybridMultilevel"/>
    <w:tmpl w:val="D8443C7E"/>
    <w:lvl w:ilvl="0" w:tplc="D504839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C04794E"/>
    <w:multiLevelType w:val="hybridMultilevel"/>
    <w:tmpl w:val="6F20AA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E49C7"/>
    <w:multiLevelType w:val="hybridMultilevel"/>
    <w:tmpl w:val="360246F2"/>
    <w:lvl w:ilvl="0" w:tplc="D9AAF30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E95A0E"/>
    <w:multiLevelType w:val="hybridMultilevel"/>
    <w:tmpl w:val="F7FAD1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226A9"/>
    <w:multiLevelType w:val="hybridMultilevel"/>
    <w:tmpl w:val="6F20AAC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E16E9"/>
    <w:multiLevelType w:val="hybridMultilevel"/>
    <w:tmpl w:val="AB2AE97E"/>
    <w:lvl w:ilvl="0" w:tplc="798EBF4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33A44CD9"/>
    <w:multiLevelType w:val="hybridMultilevel"/>
    <w:tmpl w:val="0426A0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F4A22"/>
    <w:multiLevelType w:val="hybridMultilevel"/>
    <w:tmpl w:val="7B0CDC80"/>
    <w:lvl w:ilvl="0" w:tplc="FFA2B28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41CD13FD"/>
    <w:multiLevelType w:val="hybridMultilevel"/>
    <w:tmpl w:val="9BF0C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20DB4"/>
    <w:multiLevelType w:val="hybridMultilevel"/>
    <w:tmpl w:val="923450C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321E7"/>
    <w:multiLevelType w:val="hybridMultilevel"/>
    <w:tmpl w:val="08A6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9098B"/>
    <w:multiLevelType w:val="hybridMultilevel"/>
    <w:tmpl w:val="B6DCAEA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82183"/>
    <w:multiLevelType w:val="hybridMultilevel"/>
    <w:tmpl w:val="0F5474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F27A6"/>
    <w:multiLevelType w:val="hybridMultilevel"/>
    <w:tmpl w:val="8D7EB4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04AD5"/>
    <w:multiLevelType w:val="hybridMultilevel"/>
    <w:tmpl w:val="C88EA2B2"/>
    <w:lvl w:ilvl="0" w:tplc="847E5A54">
      <w:start w:val="10"/>
      <w:numFmt w:val="bullet"/>
      <w:lvlText w:val="﷒"/>
      <w:lvlJc w:val="left"/>
      <w:pPr>
        <w:ind w:left="5604" w:hanging="5244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F0C45"/>
    <w:multiLevelType w:val="hybridMultilevel"/>
    <w:tmpl w:val="0F5474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066A7"/>
    <w:multiLevelType w:val="hybridMultilevel"/>
    <w:tmpl w:val="95FECC3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E40C37"/>
    <w:multiLevelType w:val="hybridMultilevel"/>
    <w:tmpl w:val="23585ED4"/>
    <w:lvl w:ilvl="0" w:tplc="FA9A99F8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2"/>
  </w:num>
  <w:num w:numId="5">
    <w:abstractNumId w:val="2"/>
  </w:num>
  <w:num w:numId="6">
    <w:abstractNumId w:val="16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15"/>
  </w:num>
  <w:num w:numId="12">
    <w:abstractNumId w:val="8"/>
  </w:num>
  <w:num w:numId="13">
    <w:abstractNumId w:val="1"/>
  </w:num>
  <w:num w:numId="14">
    <w:abstractNumId w:val="6"/>
  </w:num>
  <w:num w:numId="15">
    <w:abstractNumId w:val="14"/>
  </w:num>
  <w:num w:numId="16">
    <w:abstractNumId w:val="13"/>
  </w:num>
  <w:num w:numId="17">
    <w:abstractNumId w:val="18"/>
  </w:num>
  <w:num w:numId="18">
    <w:abstractNumId w:val="3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D87"/>
    <w:rsid w:val="00000F82"/>
    <w:rsid w:val="00013E35"/>
    <w:rsid w:val="00023B82"/>
    <w:rsid w:val="0002487C"/>
    <w:rsid w:val="000426BF"/>
    <w:rsid w:val="00052A33"/>
    <w:rsid w:val="000541D9"/>
    <w:rsid w:val="0005661F"/>
    <w:rsid w:val="00056899"/>
    <w:rsid w:val="00056BE3"/>
    <w:rsid w:val="00063D87"/>
    <w:rsid w:val="00067DE2"/>
    <w:rsid w:val="00075B7B"/>
    <w:rsid w:val="00083F76"/>
    <w:rsid w:val="00094FB0"/>
    <w:rsid w:val="000B2E7D"/>
    <w:rsid w:val="000C1A61"/>
    <w:rsid w:val="000C515F"/>
    <w:rsid w:val="000D5281"/>
    <w:rsid w:val="0010022B"/>
    <w:rsid w:val="001153B2"/>
    <w:rsid w:val="00124E87"/>
    <w:rsid w:val="00126E36"/>
    <w:rsid w:val="00136B26"/>
    <w:rsid w:val="001415D7"/>
    <w:rsid w:val="001444BB"/>
    <w:rsid w:val="001A3A9E"/>
    <w:rsid w:val="001B592D"/>
    <w:rsid w:val="001C2AB6"/>
    <w:rsid w:val="001C67AE"/>
    <w:rsid w:val="001D270C"/>
    <w:rsid w:val="001F6010"/>
    <w:rsid w:val="002052E4"/>
    <w:rsid w:val="0021305E"/>
    <w:rsid w:val="002213AD"/>
    <w:rsid w:val="0022181A"/>
    <w:rsid w:val="00236948"/>
    <w:rsid w:val="00236EC1"/>
    <w:rsid w:val="00244763"/>
    <w:rsid w:val="00253ED8"/>
    <w:rsid w:val="00260410"/>
    <w:rsid w:val="002609E5"/>
    <w:rsid w:val="0026570A"/>
    <w:rsid w:val="00270A9D"/>
    <w:rsid w:val="002773D2"/>
    <w:rsid w:val="00280C3A"/>
    <w:rsid w:val="00295770"/>
    <w:rsid w:val="002A788D"/>
    <w:rsid w:val="002B5043"/>
    <w:rsid w:val="002C2FFA"/>
    <w:rsid w:val="002C6925"/>
    <w:rsid w:val="002D5FF0"/>
    <w:rsid w:val="002D751A"/>
    <w:rsid w:val="002E075A"/>
    <w:rsid w:val="002F6B83"/>
    <w:rsid w:val="003013EC"/>
    <w:rsid w:val="00302C6A"/>
    <w:rsid w:val="00306097"/>
    <w:rsid w:val="0030787B"/>
    <w:rsid w:val="00337F8E"/>
    <w:rsid w:val="00347639"/>
    <w:rsid w:val="0038026E"/>
    <w:rsid w:val="00382101"/>
    <w:rsid w:val="00385BE3"/>
    <w:rsid w:val="00385D96"/>
    <w:rsid w:val="0039789E"/>
    <w:rsid w:val="003A5B0C"/>
    <w:rsid w:val="003A6F20"/>
    <w:rsid w:val="003C4C5B"/>
    <w:rsid w:val="003D4BA8"/>
    <w:rsid w:val="003D6748"/>
    <w:rsid w:val="003F7635"/>
    <w:rsid w:val="004039D4"/>
    <w:rsid w:val="00410BBC"/>
    <w:rsid w:val="004128CA"/>
    <w:rsid w:val="0041310B"/>
    <w:rsid w:val="004219E5"/>
    <w:rsid w:val="00422B77"/>
    <w:rsid w:val="00463286"/>
    <w:rsid w:val="00464761"/>
    <w:rsid w:val="0048548E"/>
    <w:rsid w:val="004C21D4"/>
    <w:rsid w:val="004C242C"/>
    <w:rsid w:val="004E528C"/>
    <w:rsid w:val="004F1F63"/>
    <w:rsid w:val="00500499"/>
    <w:rsid w:val="00502D4F"/>
    <w:rsid w:val="0051448B"/>
    <w:rsid w:val="0051579E"/>
    <w:rsid w:val="0052233C"/>
    <w:rsid w:val="00524985"/>
    <w:rsid w:val="0052522D"/>
    <w:rsid w:val="0053418C"/>
    <w:rsid w:val="00534931"/>
    <w:rsid w:val="00540E22"/>
    <w:rsid w:val="00546B74"/>
    <w:rsid w:val="005540D7"/>
    <w:rsid w:val="005825A2"/>
    <w:rsid w:val="005844F0"/>
    <w:rsid w:val="005A203E"/>
    <w:rsid w:val="005A4EC1"/>
    <w:rsid w:val="005B2D77"/>
    <w:rsid w:val="005D1AA0"/>
    <w:rsid w:val="005F20E5"/>
    <w:rsid w:val="0061318D"/>
    <w:rsid w:val="0061446F"/>
    <w:rsid w:val="00614767"/>
    <w:rsid w:val="00621D27"/>
    <w:rsid w:val="0063400E"/>
    <w:rsid w:val="00655B01"/>
    <w:rsid w:val="006747E5"/>
    <w:rsid w:val="0067734E"/>
    <w:rsid w:val="0068156D"/>
    <w:rsid w:val="00682665"/>
    <w:rsid w:val="006A673A"/>
    <w:rsid w:val="006A6C9A"/>
    <w:rsid w:val="006D4B60"/>
    <w:rsid w:val="006F084C"/>
    <w:rsid w:val="00721B26"/>
    <w:rsid w:val="0072489D"/>
    <w:rsid w:val="00734244"/>
    <w:rsid w:val="00735505"/>
    <w:rsid w:val="007378F0"/>
    <w:rsid w:val="00744A10"/>
    <w:rsid w:val="00747FD9"/>
    <w:rsid w:val="00762017"/>
    <w:rsid w:val="007646FE"/>
    <w:rsid w:val="00771116"/>
    <w:rsid w:val="00775716"/>
    <w:rsid w:val="00775F21"/>
    <w:rsid w:val="0077628B"/>
    <w:rsid w:val="0078424E"/>
    <w:rsid w:val="00784A54"/>
    <w:rsid w:val="007930C2"/>
    <w:rsid w:val="007B33A9"/>
    <w:rsid w:val="007C30A9"/>
    <w:rsid w:val="007C6AF8"/>
    <w:rsid w:val="007D544F"/>
    <w:rsid w:val="007E3F75"/>
    <w:rsid w:val="007E6AC3"/>
    <w:rsid w:val="007E7717"/>
    <w:rsid w:val="007F545B"/>
    <w:rsid w:val="0080472A"/>
    <w:rsid w:val="00844320"/>
    <w:rsid w:val="00844D39"/>
    <w:rsid w:val="00853AEF"/>
    <w:rsid w:val="00864CE4"/>
    <w:rsid w:val="00866848"/>
    <w:rsid w:val="00872BD0"/>
    <w:rsid w:val="00885702"/>
    <w:rsid w:val="00891E34"/>
    <w:rsid w:val="008A2877"/>
    <w:rsid w:val="008B6DBF"/>
    <w:rsid w:val="008C0F1E"/>
    <w:rsid w:val="008D3B2F"/>
    <w:rsid w:val="008D5C98"/>
    <w:rsid w:val="008E1578"/>
    <w:rsid w:val="008F22F9"/>
    <w:rsid w:val="00901996"/>
    <w:rsid w:val="0091056B"/>
    <w:rsid w:val="00911FD0"/>
    <w:rsid w:val="00932263"/>
    <w:rsid w:val="00933056"/>
    <w:rsid w:val="00971E6D"/>
    <w:rsid w:val="00973592"/>
    <w:rsid w:val="00974861"/>
    <w:rsid w:val="00984BEC"/>
    <w:rsid w:val="00986BB1"/>
    <w:rsid w:val="00987A95"/>
    <w:rsid w:val="009955E3"/>
    <w:rsid w:val="00996A37"/>
    <w:rsid w:val="00A03FA5"/>
    <w:rsid w:val="00A179F9"/>
    <w:rsid w:val="00A37ED8"/>
    <w:rsid w:val="00A42FED"/>
    <w:rsid w:val="00A62597"/>
    <w:rsid w:val="00A62F7B"/>
    <w:rsid w:val="00A74752"/>
    <w:rsid w:val="00A87318"/>
    <w:rsid w:val="00A87520"/>
    <w:rsid w:val="00A92301"/>
    <w:rsid w:val="00A92676"/>
    <w:rsid w:val="00AA22DF"/>
    <w:rsid w:val="00AB47F6"/>
    <w:rsid w:val="00AB48E1"/>
    <w:rsid w:val="00AF5260"/>
    <w:rsid w:val="00B043EB"/>
    <w:rsid w:val="00B134C3"/>
    <w:rsid w:val="00B15D33"/>
    <w:rsid w:val="00B37B4E"/>
    <w:rsid w:val="00B37F6E"/>
    <w:rsid w:val="00B40A29"/>
    <w:rsid w:val="00B41285"/>
    <w:rsid w:val="00B82198"/>
    <w:rsid w:val="00B92442"/>
    <w:rsid w:val="00B92534"/>
    <w:rsid w:val="00B927DC"/>
    <w:rsid w:val="00B92BE1"/>
    <w:rsid w:val="00BB2D60"/>
    <w:rsid w:val="00BC0403"/>
    <w:rsid w:val="00BC75C7"/>
    <w:rsid w:val="00BD58D5"/>
    <w:rsid w:val="00BE489E"/>
    <w:rsid w:val="00BE72DA"/>
    <w:rsid w:val="00C00D8C"/>
    <w:rsid w:val="00C102A0"/>
    <w:rsid w:val="00C238AD"/>
    <w:rsid w:val="00C30113"/>
    <w:rsid w:val="00C31221"/>
    <w:rsid w:val="00C35A71"/>
    <w:rsid w:val="00C514FA"/>
    <w:rsid w:val="00C828FE"/>
    <w:rsid w:val="00CA3C52"/>
    <w:rsid w:val="00CB4C68"/>
    <w:rsid w:val="00CB692D"/>
    <w:rsid w:val="00CC263D"/>
    <w:rsid w:val="00CE3001"/>
    <w:rsid w:val="00D02D31"/>
    <w:rsid w:val="00D06E69"/>
    <w:rsid w:val="00D329DE"/>
    <w:rsid w:val="00D505EB"/>
    <w:rsid w:val="00D85792"/>
    <w:rsid w:val="00D85ED9"/>
    <w:rsid w:val="00D90249"/>
    <w:rsid w:val="00D9159A"/>
    <w:rsid w:val="00D928FD"/>
    <w:rsid w:val="00D92BA4"/>
    <w:rsid w:val="00DA5132"/>
    <w:rsid w:val="00DE314C"/>
    <w:rsid w:val="00E11AC6"/>
    <w:rsid w:val="00E12ED9"/>
    <w:rsid w:val="00E36586"/>
    <w:rsid w:val="00E43D3A"/>
    <w:rsid w:val="00E60514"/>
    <w:rsid w:val="00E60560"/>
    <w:rsid w:val="00E80682"/>
    <w:rsid w:val="00E83DF9"/>
    <w:rsid w:val="00E93053"/>
    <w:rsid w:val="00E95705"/>
    <w:rsid w:val="00EA4D3E"/>
    <w:rsid w:val="00EA7560"/>
    <w:rsid w:val="00EB047C"/>
    <w:rsid w:val="00ED2878"/>
    <w:rsid w:val="00EE6DE4"/>
    <w:rsid w:val="00EF4C8F"/>
    <w:rsid w:val="00EF68C2"/>
    <w:rsid w:val="00F2420F"/>
    <w:rsid w:val="00F37543"/>
    <w:rsid w:val="00F47BF1"/>
    <w:rsid w:val="00F631F5"/>
    <w:rsid w:val="00F76719"/>
    <w:rsid w:val="00F8158D"/>
    <w:rsid w:val="00F86ECC"/>
    <w:rsid w:val="00F9225A"/>
    <w:rsid w:val="00F93B4B"/>
    <w:rsid w:val="00FA27EB"/>
    <w:rsid w:val="00FA5950"/>
    <w:rsid w:val="00FA69BB"/>
    <w:rsid w:val="00FC7D61"/>
    <w:rsid w:val="00FE0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B255"/>
  <w15:docId w15:val="{6AACBC1C-3E7B-455A-8E9A-A40F2901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63D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F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545B"/>
  </w:style>
  <w:style w:type="paragraph" w:styleId="Footer">
    <w:name w:val="footer"/>
    <w:basedOn w:val="Normal"/>
    <w:link w:val="FooterChar"/>
    <w:uiPriority w:val="99"/>
    <w:semiHidden/>
    <w:unhideWhenUsed/>
    <w:rsid w:val="007F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45B"/>
  </w:style>
  <w:style w:type="paragraph" w:styleId="ListParagraph">
    <w:name w:val="List Paragraph"/>
    <w:basedOn w:val="Normal"/>
    <w:uiPriority w:val="34"/>
    <w:qFormat/>
    <w:rsid w:val="00681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17353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DISKOMINFO</dc:creator>
  <cp:keywords/>
  <dc:description/>
  <cp:lastModifiedBy>Mediacom</cp:lastModifiedBy>
  <cp:revision>6</cp:revision>
  <cp:lastPrinted>2021-03-21T07:56:00Z</cp:lastPrinted>
  <dcterms:created xsi:type="dcterms:W3CDTF">2018-04-02T03:24:00Z</dcterms:created>
  <dcterms:modified xsi:type="dcterms:W3CDTF">2021-09-05T17:39:00Z</dcterms:modified>
</cp:coreProperties>
</file>